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12279E" w:rsidRPr="004153FE" w:rsidRDefault="0012279E" w:rsidP="0012279E">
      <w:pPr>
        <w:tabs>
          <w:tab w:val="left" w:pos="14656"/>
        </w:tabs>
        <w:jc w:val="center"/>
        <w:rPr>
          <w:b/>
          <w:sz w:val="20"/>
          <w:lang w:eastAsia="lt-LT"/>
        </w:rPr>
      </w:pPr>
      <w:r w:rsidRPr="004153FE">
        <w:rPr>
          <w:b/>
          <w:lang w:eastAsia="lt-LT"/>
        </w:rPr>
        <w:t>KLAIPĖDOS LOPŠELIO-DARŽELIO „EGLUTĖ“</w:t>
      </w:r>
    </w:p>
    <w:p w:rsidR="0006079E" w:rsidRDefault="0012279E" w:rsidP="0012279E">
      <w:pPr>
        <w:jc w:val="center"/>
        <w:rPr>
          <w:b/>
        </w:rPr>
      </w:pPr>
      <w:r w:rsidRPr="004153FE">
        <w:rPr>
          <w:b/>
          <w:lang w:eastAsia="lt-LT"/>
        </w:rPr>
        <w:t>2021 METŲ VEIKLOS ATASKAITA</w:t>
      </w:r>
    </w:p>
    <w:p w:rsidR="00832CC9" w:rsidRDefault="00832CC9" w:rsidP="0006079E">
      <w:pPr>
        <w:jc w:val="center"/>
      </w:pPr>
    </w:p>
    <w:p w:rsidR="00671E58" w:rsidRDefault="004D20EA" w:rsidP="00671E58">
      <w:pPr>
        <w:tabs>
          <w:tab w:val="left" w:pos="443"/>
          <w:tab w:val="left" w:pos="709"/>
        </w:tabs>
        <w:ind w:firstLine="851"/>
        <w:jc w:val="both"/>
      </w:pPr>
      <w:r w:rsidRPr="004153FE">
        <w:t xml:space="preserve">Klaipėdos lopšelis-darželis ,,Eglutė“ (toliau – Įstaiga) yra savivaldybės biudžetinė ikimokyklinio ugdymo įstaiga, kurios pagrindinė veikla – ikimokyklinio ir priešmokyklinio amžiaus vaikų ugdymas. 2021 m. Įstaigoje veikė 11 grupių (9 ikimokyklinio, 2 priešmokyklinio ugdymo grupės). 2021-09-01 duomenimis Įstaigoje ugdyti 188 vaikai (2020 m. – 189); užtikrintas 149 ikimokyklinio ir 39 priešmokyklinio amžiaus vaikų ugdymas. Dirbo 23 pedagogai, t. y. 23,6 etato (2020 m. – 23,6 etato), ir 25 nepedagoginiai darbuotojai, t. y. 25,43 etato (2020 m. – 24,43 etato). Pedagogai yra įgiję aukštas kvalifikacines kategorijas: 13 pedagogų – mokytojo metodininko, 6 – vyresniojo mokytojo, 2 – mokytojo. </w:t>
      </w:r>
    </w:p>
    <w:p w:rsidR="00671E58" w:rsidRDefault="004D20EA" w:rsidP="00671E58">
      <w:pPr>
        <w:tabs>
          <w:tab w:val="left" w:pos="431"/>
          <w:tab w:val="left" w:pos="709"/>
        </w:tabs>
        <w:ind w:firstLine="851"/>
        <w:jc w:val="both"/>
      </w:pPr>
      <w:r w:rsidRPr="004153FE">
        <w:t>2021 m. Įstaiga veiklą vykdė vadovaudamasi 2021–2023 metų strateginiu planu (toliau – Strateginis planas) ir 2021 m. veiklos planu (toliau – Veiklos planas). Įstaigos bendruomenė buvo sutelkta ugdytinių pasiekimų ir veiksmingos švietimo pagalbos įvairių gebėjimų vaikams teikimo gerinimui. Strateginiame ir Veiklos planuose buvo iškelti konkretūs veiklos tikslai ir uždaviniai, numatytos veiksmingos priemonės laukiamam rezultatui pasiekti.</w:t>
      </w:r>
    </w:p>
    <w:p w:rsidR="004D20EA" w:rsidRPr="004153FE" w:rsidRDefault="004D20EA" w:rsidP="00671E58">
      <w:pPr>
        <w:tabs>
          <w:tab w:val="left" w:pos="431"/>
          <w:tab w:val="left" w:pos="709"/>
        </w:tabs>
        <w:ind w:firstLine="851"/>
        <w:jc w:val="both"/>
      </w:pPr>
      <w:r w:rsidRPr="004153FE">
        <w:t>Strateginiame plane numatyto pirmojo tikslo – užtikrinti kokybišką ugdymo(si) proceso organizavimą – įgyvendinimas buvo susietas su kokybiškų paslaugų užtikrinimu įvairiose įstaigos veiklos srityse. Strateginiam tikslui pasiekti buvo vykdomi 4 Veiklos uždaviniai:</w:t>
      </w:r>
    </w:p>
    <w:p w:rsidR="004D20EA" w:rsidRPr="004153FE" w:rsidRDefault="004D20EA" w:rsidP="00671E58">
      <w:pPr>
        <w:pStyle w:val="Sraopastraipa"/>
        <w:numPr>
          <w:ilvl w:val="0"/>
          <w:numId w:val="1"/>
        </w:numPr>
        <w:tabs>
          <w:tab w:val="left" w:pos="573"/>
          <w:tab w:val="left" w:pos="998"/>
        </w:tabs>
        <w:ind w:left="5" w:firstLine="846"/>
        <w:jc w:val="both"/>
        <w:rPr>
          <w:szCs w:val="24"/>
        </w:rPr>
      </w:pPr>
      <w:r w:rsidRPr="004153FE">
        <w:rPr>
          <w:szCs w:val="24"/>
        </w:rPr>
        <w:t xml:space="preserve"> įgyvendinant pirmąjį uždavinį – užtikrinti veiksmingą įstaigos darbą – buvo įgyvendintos priemonės, susijusios su ugdymo(si) proceso užtikrinimu, vaikų individualių saviraiškos ir ugdymo(si) poreikių tenkinimu, patyriminių veiklų organizavimu, papildomų paslaugų teikimu. Nuosekliai įgyvendintos ikimokyklinio ir priešmokyklinio ugdymo, 4 neformaliojo vaikų švietimo programos (etnokultūros, dailės, sveikos gyvensenos ir fizinio ugdymo programos). Aktyviai dalyvauta nacionaliniame sveikatą stiprinančių mokyklų (toliau – SSM) tinklo projekte „Sveika mokykla“ bei įgyvendinta Įstaigos sveikatos stiprinimo programa „Judu, žaidžiu sveikatos ritmu“ 2021–2025 m. (organizuota 11 sveikatos, sporto renginių). Programose dalyvavo 100 proc. ikimokyklinio ir priešmokyklinio amžiaus vaikų bei pedagogų. Priešmokyklinio ugdymo procese taikyta tarptautinė ankstyvosios prevencijos programa „Zipio draugai“ (dalyvavo 2 pedagogai, 39 ugdytiniai), 2 ikimokyklinio ugdymo grupėse – socialinio emocinio ugdymo programa „Kimochi“ (3 pedagogai, 34 ugdytiniai). Įgyvendinant programas, vaikai įgijo kritinio mąstymo, gebėjimo mokytis, kūrybiškumo, tiriamosios veiklos, sveikos gyvensenos, bendravimo ir bendradarbiavimo įgūdžių. Skatinant pedagogų lyderystę, komandinį darbą, parengti ir įgyvendinti 2 tarptautiniai, 3 šalies, 3 su socialiniais partneriais edukaciniai-kūrybiniai projektai. Dalyvauta 2 </w:t>
      </w:r>
      <w:r>
        <w:rPr>
          <w:szCs w:val="24"/>
        </w:rPr>
        <w:t>„</w:t>
      </w:r>
      <w:r w:rsidRPr="004153FE">
        <w:rPr>
          <w:szCs w:val="24"/>
        </w:rPr>
        <w:t>eTwinning</w:t>
      </w:r>
      <w:r>
        <w:rPr>
          <w:szCs w:val="24"/>
        </w:rPr>
        <w:t>“</w:t>
      </w:r>
      <w:r w:rsidRPr="004153FE">
        <w:rPr>
          <w:szCs w:val="24"/>
        </w:rPr>
        <w:t xml:space="preserve"> projektuose, tarptautinėje LRT šokio iniciatyvoje „Matau tave“. 2021 m. tenkinti įvairiapusiai ugdytinių poreikiai, skatinta ugdytinių saviraiška. Įstaiga dalyvavo 1 tarptautiniame, 17 šalies, 3 miesto projektuose; 1 tarptautiniame, 1 šalies, 1 miesto konkursuose; 7 šalies parodų, 1 šalies pilietinėje akcijoje. Įstaigos pedagogai užmezgė kolegialius ryšius su 7 užsienio ir šalies ugdymo įstaigomis. Bendradarbiaujant su šeima, Įstaigoje organizuota: 6 teminės savaitės, 11 grupių projektų, 26 tradiciniai ir netradiciniai renginiai, 10 kūrybinių darbų parodų, 13 edukacinių išvykų. Šiuose renginiuose dalyvavo 180 ikimokyklinio ir priešmokyklinio amžiaus vaikų. Įstaigoje organizuotas kokybiškas vaikų maitinimas, diegti sveikos mitybos įgūdžiai. 1 ugdytiniui sudarytas pritaikytas valgiaraštis. Dalyvauta „Vaisių vartojimo skatinimo vaikų ugdymo įstaigose“ programoje ir Pieno produktų vartojimo vaikų ir švietimo įstaigose paramos programoje „Pienas vaikams“ – vaikai įgijo įprotį vartoti pieno produktus, vaisius ir daržoves. Teikta pedagoginė, psichologinė, socialinė ir teisinė pagalba vaikui ir šeimai. 2021 m. mokesčio lengvata buvo taikyta: </w:t>
      </w:r>
      <w:r w:rsidRPr="004153FE">
        <w:rPr>
          <w:szCs w:val="24"/>
        </w:rPr>
        <w:lastRenderedPageBreak/>
        <w:t xml:space="preserve">6 šeimoms – 100 proc., 17 šeimų – 50 proc. (2020 m. 3 šeimoms – 100 proc., 24 šeimoms – 50 proc.). Užtikrinta 16 vaikų socialinė ir pedagoginė gerovė, tikslingai bendradarbiaujant su Klaipėdos pedagogine psichologine tarnyba (toliau – KPPT), Klaipėdos miesto šeimos ir vaiko gerovės centru, Valstybinės vaiko teisių apsaugos ir įvaikinimo tarnybos prie socialinės apsaugos ir darbo ministerijos Klaipėdos apskrities vaiko teisių apsaugos skyriumi, Klaipėdos miesto savivaldybės administracijos Tarpinstitucinio koordinavimo grupe – gauta savalaikė informacija apie koordinuotų paslaugų, vaiko laikinosios globos ir kitos pagalbos šeimai teikimą; </w:t>
      </w:r>
    </w:p>
    <w:p w:rsidR="004D20EA" w:rsidRPr="004153FE" w:rsidRDefault="004D20EA" w:rsidP="00671E58">
      <w:pPr>
        <w:pStyle w:val="Sraopastraipa"/>
        <w:numPr>
          <w:ilvl w:val="0"/>
          <w:numId w:val="1"/>
        </w:numPr>
        <w:tabs>
          <w:tab w:val="left" w:pos="453"/>
          <w:tab w:val="left" w:pos="573"/>
        </w:tabs>
        <w:ind w:left="5" w:firstLine="846"/>
        <w:jc w:val="both"/>
        <w:rPr>
          <w:szCs w:val="24"/>
        </w:rPr>
      </w:pPr>
      <w:r w:rsidRPr="004153FE">
        <w:rPr>
          <w:szCs w:val="24"/>
        </w:rPr>
        <w:t xml:space="preserve"> įgyvendinant antrąjį uždavinį – sudaryti sąlygas nuolatiniam pedagogų tobulėjimui, gerosios patirties sklaidai – pedagogai ir vadovai kryptingai tobulino kvalifikaciją: 2021 m. kiekvienas mokytojas vidutiniškai kėlė kvalifikaciją 16 dienų arba 93,5 val., (2020 m. – 14 dienų arba 84,3 val.), vadovai – 258 val. arba 42 dienas (2020 m. – 193 val., arba 33 dienas). Visiems pedagogams Įstaigoje organizuotas seminaras „Kaip išlaikyti vidinę darną ir motyvuoti save pokyčiui, nuolatiniam tobulėjimui“. 2 pedagogai dalyvavo nacionaliniame pradedančiųjų mokytojų stažuotės projekte „Tęsk“, 1 pedagogas – tarptautiniuose kvalifikacijos tobulinimo kursuose ,,Šiuolaikinės kalbos mokymas: skaitmeniniai sprendimai ir aktuali kalbinė praktika“. 5 pedagogai (63 val.) gilino skaitmeninio raštingumo kompetencijas. Pedagogai įgytas žinias tikslingai pritaikė ugdymo(si) procese ir dalinosi darbo patirtimi: Klaipėdos pedagogų švietimo ir kultūros centro (toliau –  KPŠKC) renginiuose – 14 pedagogų, SSM internetiniame puslapyje – 5 pedagogai. Skleista geroji vadybinė ir pedagoginė patirtis Įstaigoje organizuojant Klaipėdos valstybinės kolegijos ir Klaipėdos universiteto studentų praktikas – buvo sudarytos 5 studentų praktikos sutartys; 5 patyrę pedagogai vadovavo mentorystės procesui, realizavo savo profesinius gebėjimus; </w:t>
      </w:r>
    </w:p>
    <w:p w:rsidR="004D20EA" w:rsidRPr="004153FE" w:rsidRDefault="004D20EA" w:rsidP="00671E58">
      <w:pPr>
        <w:pStyle w:val="Sraopastraipa"/>
        <w:numPr>
          <w:ilvl w:val="0"/>
          <w:numId w:val="1"/>
        </w:numPr>
        <w:tabs>
          <w:tab w:val="left" w:pos="431"/>
          <w:tab w:val="left" w:pos="573"/>
        </w:tabs>
        <w:ind w:left="5" w:firstLine="846"/>
        <w:jc w:val="both"/>
        <w:rPr>
          <w:szCs w:val="24"/>
        </w:rPr>
      </w:pPr>
      <w:r w:rsidRPr="004153FE">
        <w:rPr>
          <w:szCs w:val="24"/>
        </w:rPr>
        <w:t xml:space="preserve"> įgyvendinant trečią uždavinį – tobulinti individualių vaiko gebėjimų stebėseną bei pasiekimų ir pažangos vertinimo sistemą – ugdymo(si) procese akcentuotas ugdytinių individualios pažangos vertinimas, proceso diferencijavimas ir individualizavimas. Parengtas vaikų pasiekimų ir pažangos vertinimo modelis. 100 proc. pedagogų taiko šį modelį praktikoje ir vaikų pasiekimus fiksuoja elektroniniame dienyne „Mūsų darželis“. 88 proc. tėvų yra prisijungę prie elektroninės sistemos ir gali stebėti vaiko pasiekimus ir pažangą. Nustatyti priešmokyklinio amžiaus vaikų pasiekimų rezultatai: 90 proc. vaikų yra įgiję reikiamas kompetencijas ir pasirengę sėkmingai mokytis mokykloje. Atliktas giluminis vidaus įsivertinimas „Specialiųjų poreikių vaikų ugdymo pažanga“. Rezultatai parodė, kad daugumos specialiųjų poreikių ugdytinių pažanga yra akivaizdi, atitinkanti jų galimybes ir pastangas bei ugdytojų lūkesčius. Tėvai teigiamai vertina administracijos, logopedo, pedagogų teikiamas paslaugas ir nuolatinį grįžtamąjį ryšį; </w:t>
      </w:r>
    </w:p>
    <w:p w:rsidR="004D20EA" w:rsidRPr="004153FE" w:rsidRDefault="004D20EA" w:rsidP="00671E58">
      <w:pPr>
        <w:pStyle w:val="Sraopastraipa"/>
        <w:numPr>
          <w:ilvl w:val="0"/>
          <w:numId w:val="1"/>
        </w:numPr>
        <w:tabs>
          <w:tab w:val="left" w:pos="351"/>
          <w:tab w:val="left" w:pos="573"/>
        </w:tabs>
        <w:ind w:left="5" w:firstLine="846"/>
        <w:jc w:val="both"/>
        <w:rPr>
          <w:szCs w:val="24"/>
        </w:rPr>
      </w:pPr>
      <w:r w:rsidRPr="004153FE">
        <w:rPr>
          <w:szCs w:val="24"/>
        </w:rPr>
        <w:t xml:space="preserve"> įgyvendinant ketvirtą uždavinį – sudaryti tinkamas ugdymo(si) sąlygas specialiųjų poreikių vaikams – buvo vykdytos priemonės, susijusios su specialiosios švietimo pagalbos teikimu, įtraukiojo ugdymo(si) organizavimu, pedagogų pasirengimu. Tikslingai teikta logopedo pagalba 42 ugdytiniams (2020 m. – 36). Sutrikimai įveikti 12 vaikų, iš dalies – 30 vaikų. Atsižvelgiant į KPPT rekomendacijas, parengti 5 Individualios pagalbos planai (toliau –IPP). 2 grupėse, kuriose ugdomi įvairiapusių raidos sutrikimų turintys vaikai, struktūrizuota ugdymo(si) aplinka, paruoštos alternatyvios komunikacijos priemonės, sukurtos nusiraminimo erdvės. Teikta mokytojo padėjėjo pagalba (2021 m. – 1,5 etato, 2020 – 0,5 etato). Organizuoti 9 Vaiko gerovės komisijos (toliau – VGK) posėdžiai, kuriuose teikta metodinė pagalba 6 pedagogams, dirbantiems su specialiųjų poreikių vaikais dėl IPP rengimo ir vykdymo. Į VGK posėdžius kviesti 3 ugdytinių tėvai. Teikta 50 individualių logopedo konsultacijų tėvams dėl kalbos ugdymo namuose, parengtos 2 atmintinės tėvams, pedagogams. 14 pedagogų dalyvavo Klaipėdos universiteto organizuotuose ilgalaikiuose (40 val.) mokymuose „Specialiųjų poreikių vaikų atpažinimas, ugdymas ir patiriami sunkumai ikimokykliniame ugdyme". 22 pedagogai  2021-05-10 išklausė Klaipėdos PPT psichologo paskaitą „Emocinių ir elgesio sunkumų turintys vaikai: iššūkiai ir galimybės“. Įgytos žinios pritaikytos, sprendžiant specialiųjų ugdymo(si) poreikių turinčių vaikų adaptacijos grupėje, ugdymo(si), bendradarbiavimo su šeima klausimus.</w:t>
      </w:r>
    </w:p>
    <w:p w:rsidR="00671E58" w:rsidRDefault="00954A52" w:rsidP="00671E58">
      <w:pPr>
        <w:tabs>
          <w:tab w:val="left" w:pos="455"/>
          <w:tab w:val="left" w:pos="573"/>
        </w:tabs>
        <w:ind w:firstLine="851"/>
        <w:jc w:val="both"/>
      </w:pPr>
      <w:r>
        <w:tab/>
      </w:r>
      <w:r w:rsidR="004D20EA" w:rsidRPr="004153FE">
        <w:t xml:space="preserve">Strateginiame plane numatyto antrojo tikslo – užtikrinti sveiką, saugią ir šiuolaikinius  ugdymo(si) reikalavimus atitinkančią aplinką – numatytos priemonės buvo orientuotos į funkcionalios, estetiškos, šiuolaikinius reikalavimus atitinkančios aplinkos kūrimą. Tikslui pasiekti </w:t>
      </w:r>
      <w:r w:rsidR="004D20EA" w:rsidRPr="004153FE">
        <w:lastRenderedPageBreak/>
        <w:t xml:space="preserve">buvo vykdomas 1 Veiklos plano uždavinys – atnaujinti Įstaigos materialinę bazę. Įgyvendinant šį uždavinį, buvo suremontuota 220 kv. m patalpų. Atliktas 2 priešmokyklinių grupių remontas: suremontuotos grupių ir rūbinės patalpos (160 kv. m), sumontuotos 4 sieninės spintos, 5 durys, žaliuzės. Suremontuotos 2 ikimokyklinių grupių rūbinės (40 kv. m.), jose sumontuotos 2 sieninės spintos, žaliuzės. 1 lopšelio grupėje atliktas virtuvėlės remontas; joje sumontuoti nauji baldai.  Higienos normai užtikrinti įsigyta patalynės, rankšluosčių (197 vnt.), darbo rūbų (14 vnt.), indų, kitų maisto ruošimo reikmenų, šaldiklis. Savivaldybės lėšomis nugriauti nesaugūs statiniai (lauko rūsys ir lauko baseinas). Reaguojant į tikrinančių institucijų reikalavimus, suremontuotas 1 lauko žaidimų įrenginys. Pagerėjo ugdymo(si) sąlygos darželio kieme: įrengta 77 kv. m. liejamos guminės dangos aikštelė (9,7 tūkst. Eur) saugaus eismo įgūdžiams ugdyti, sukurtos erdvės patyriminiam ugdymui(si) (daržas, pojūčio takas, tyrinėjimų erdvė). Atnaujinant ugdymo(si) priemones, nupirkta sportinio inventoriaus, STEAM ugdymo(si) priemonių, „Kimochi“ lėlių (6 vnt.), įvairių konstruktorių ir žaislų (3,8 tūkst. Eur). Įsigytas Mažosios Lietuvos moters tautinis kostiumas ir jo priedai (0,4 tūkst. Eur). Nupirkta informacinių ir komunikacinių technologijų: 2 SMART interaktyvieji ekranai, 2 nešiojami kompiuteriai, 1 kopijavimo aparatas, 1 nešiojama garso kolonėlė (7,1 tūkst. Eur).  </w:t>
      </w:r>
    </w:p>
    <w:p w:rsidR="004D20EA" w:rsidRPr="004153FE" w:rsidRDefault="004D20EA" w:rsidP="00671E58">
      <w:pPr>
        <w:tabs>
          <w:tab w:val="left" w:pos="455"/>
          <w:tab w:val="left" w:pos="573"/>
        </w:tabs>
        <w:ind w:firstLine="851"/>
        <w:jc w:val="both"/>
      </w:pPr>
      <w:r w:rsidRPr="004153FE">
        <w:t>2021 m. Įstaigos finansinė situacija buvo tokia:</w:t>
      </w:r>
    </w:p>
    <w:tbl>
      <w:tblPr>
        <w:tblStyle w:val="Lentelstinklelis"/>
        <w:tblW w:w="0" w:type="auto"/>
        <w:tblInd w:w="31" w:type="dxa"/>
        <w:tblLook w:val="04A0" w:firstRow="1" w:lastRow="0" w:firstColumn="1" w:lastColumn="0" w:noHBand="0" w:noVBand="1"/>
      </w:tblPr>
      <w:tblGrid>
        <w:gridCol w:w="2375"/>
        <w:gridCol w:w="1470"/>
        <w:gridCol w:w="1228"/>
        <w:gridCol w:w="1283"/>
        <w:gridCol w:w="3170"/>
      </w:tblGrid>
      <w:tr w:rsidR="004D20EA" w:rsidRPr="004153FE" w:rsidTr="00110C8C">
        <w:trPr>
          <w:tblHeader/>
        </w:trPr>
        <w:tc>
          <w:tcPr>
            <w:tcW w:w="2375" w:type="dxa"/>
            <w:vMerge w:val="restart"/>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center"/>
            </w:pPr>
            <w:r w:rsidRPr="004153FE">
              <w:t>Finansavimo šaltinis</w:t>
            </w:r>
          </w:p>
        </w:tc>
        <w:tc>
          <w:tcPr>
            <w:tcW w:w="3973" w:type="dxa"/>
            <w:gridSpan w:val="3"/>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center"/>
            </w:pPr>
            <w:r w:rsidRPr="004153FE">
              <w:t>Lėšos (tūkst. Eur)</w:t>
            </w:r>
          </w:p>
        </w:tc>
        <w:tc>
          <w:tcPr>
            <w:tcW w:w="3170" w:type="dxa"/>
            <w:vMerge w:val="restart"/>
            <w:tcBorders>
              <w:top w:val="single" w:sz="4" w:space="0" w:color="auto"/>
              <w:left w:val="single" w:sz="4" w:space="0" w:color="auto"/>
              <w:right w:val="single" w:sz="4" w:space="0" w:color="auto"/>
            </w:tcBorders>
          </w:tcPr>
          <w:p w:rsidR="004D20EA" w:rsidRPr="004153FE" w:rsidRDefault="004D20EA" w:rsidP="00110C8C">
            <w:pPr>
              <w:jc w:val="center"/>
            </w:pPr>
            <w:r w:rsidRPr="004153FE">
              <w:t>Pastabos</w:t>
            </w:r>
          </w:p>
          <w:p w:rsidR="004D20EA" w:rsidRPr="004153FE" w:rsidRDefault="004D20EA" w:rsidP="00110C8C">
            <w:pPr>
              <w:jc w:val="center"/>
            </w:pPr>
          </w:p>
        </w:tc>
      </w:tr>
      <w:tr w:rsidR="004D20EA" w:rsidRPr="004153FE" w:rsidTr="00110C8C">
        <w:trPr>
          <w:tblHeader/>
        </w:trPr>
        <w:tc>
          <w:tcPr>
            <w:tcW w:w="2375" w:type="dxa"/>
            <w:vMerge/>
            <w:tcBorders>
              <w:top w:val="single" w:sz="4" w:space="0" w:color="auto"/>
              <w:left w:val="single" w:sz="4" w:space="0" w:color="auto"/>
              <w:bottom w:val="single" w:sz="4" w:space="0" w:color="auto"/>
              <w:right w:val="single" w:sz="4" w:space="0" w:color="auto"/>
            </w:tcBorders>
            <w:vAlign w:val="center"/>
            <w:hideMark/>
          </w:tcPr>
          <w:p w:rsidR="004D20EA" w:rsidRPr="004153FE" w:rsidRDefault="004D20EA" w:rsidP="00110C8C">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center"/>
            </w:pPr>
            <w:r w:rsidRPr="004153FE">
              <w:t>Planas (patikslintas)</w:t>
            </w:r>
          </w:p>
        </w:tc>
        <w:tc>
          <w:tcPr>
            <w:tcW w:w="1228"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center"/>
            </w:pPr>
            <w:r w:rsidRPr="004153FE">
              <w:t>Panaudota lėšų</w:t>
            </w:r>
          </w:p>
        </w:tc>
        <w:tc>
          <w:tcPr>
            <w:tcW w:w="1275"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center"/>
            </w:pPr>
            <w:r w:rsidRPr="004153FE">
              <w:t>Įvykdymas (%)</w:t>
            </w:r>
          </w:p>
        </w:tc>
        <w:tc>
          <w:tcPr>
            <w:tcW w:w="3170" w:type="dxa"/>
            <w:vMerge/>
            <w:tcBorders>
              <w:left w:val="single" w:sz="4" w:space="0" w:color="auto"/>
              <w:bottom w:val="single" w:sz="4" w:space="0" w:color="auto"/>
              <w:right w:val="single" w:sz="4" w:space="0" w:color="auto"/>
            </w:tcBorders>
          </w:tcPr>
          <w:p w:rsidR="004D20EA" w:rsidRPr="004153FE" w:rsidRDefault="004D20EA" w:rsidP="00110C8C"/>
        </w:tc>
      </w:tr>
      <w:tr w:rsidR="004D20EA" w:rsidRPr="004153FE" w:rsidTr="00110C8C">
        <w:trPr>
          <w:trHeight w:val="415"/>
        </w:trPr>
        <w:tc>
          <w:tcPr>
            <w:tcW w:w="2375"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r w:rsidRPr="004153FE">
              <w:t>Savivaldybės biudžetas (SB)</w:t>
            </w:r>
          </w:p>
        </w:tc>
        <w:tc>
          <w:tcPr>
            <w:tcW w:w="1470"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r w:rsidRPr="004153FE">
              <w:rPr>
                <w:rFonts w:eastAsia="Calibri"/>
              </w:rPr>
              <w:t>471,3</w:t>
            </w:r>
          </w:p>
        </w:tc>
        <w:tc>
          <w:tcPr>
            <w:tcW w:w="1228"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r w:rsidRPr="004153FE">
              <w:rPr>
                <w:rFonts w:eastAsia="Calibri"/>
              </w:rPr>
              <w:t>470,97</w:t>
            </w:r>
          </w:p>
        </w:tc>
        <w:tc>
          <w:tcPr>
            <w:tcW w:w="1275"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r w:rsidRPr="004153FE">
              <w:rPr>
                <w:rFonts w:eastAsia="Calibri"/>
              </w:rPr>
              <w:t>99,93</w:t>
            </w:r>
          </w:p>
        </w:tc>
        <w:tc>
          <w:tcPr>
            <w:tcW w:w="3170" w:type="dxa"/>
            <w:tcBorders>
              <w:top w:val="single" w:sz="4" w:space="0" w:color="auto"/>
              <w:left w:val="single" w:sz="4" w:space="0" w:color="auto"/>
              <w:bottom w:val="single" w:sz="4" w:space="0" w:color="auto"/>
              <w:right w:val="single" w:sz="4" w:space="0" w:color="auto"/>
            </w:tcBorders>
          </w:tcPr>
          <w:p w:rsidR="004D20EA" w:rsidRPr="004153FE" w:rsidRDefault="004D20EA" w:rsidP="00110C8C"/>
        </w:tc>
      </w:tr>
      <w:tr w:rsidR="004D20EA" w:rsidRPr="004153FE" w:rsidTr="00110C8C">
        <w:tc>
          <w:tcPr>
            <w:tcW w:w="2375"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r w:rsidRPr="004153FE">
              <w:t>Specialioji tikslinė dotacija (VB)</w:t>
            </w:r>
          </w:p>
        </w:tc>
        <w:tc>
          <w:tcPr>
            <w:tcW w:w="1470"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r w:rsidRPr="004153FE">
              <w:rPr>
                <w:rFonts w:eastAsia="Calibri"/>
              </w:rPr>
              <w:t>285,2</w:t>
            </w:r>
          </w:p>
        </w:tc>
        <w:tc>
          <w:tcPr>
            <w:tcW w:w="1228"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r w:rsidRPr="004153FE">
              <w:rPr>
                <w:rFonts w:eastAsia="Calibri"/>
              </w:rPr>
              <w:t>285,2</w:t>
            </w:r>
          </w:p>
        </w:tc>
        <w:tc>
          <w:tcPr>
            <w:tcW w:w="1275"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r w:rsidRPr="004153FE">
              <w:rPr>
                <w:rFonts w:eastAsia="Calibri"/>
              </w:rPr>
              <w:t>100</w:t>
            </w:r>
          </w:p>
        </w:tc>
        <w:tc>
          <w:tcPr>
            <w:tcW w:w="3170" w:type="dxa"/>
            <w:tcBorders>
              <w:top w:val="single" w:sz="4" w:space="0" w:color="auto"/>
              <w:left w:val="single" w:sz="4" w:space="0" w:color="auto"/>
              <w:bottom w:val="single" w:sz="4" w:space="0" w:color="auto"/>
              <w:right w:val="single" w:sz="4" w:space="0" w:color="auto"/>
            </w:tcBorders>
          </w:tcPr>
          <w:p w:rsidR="004D20EA" w:rsidRPr="004153FE" w:rsidRDefault="004D20EA" w:rsidP="00110C8C"/>
        </w:tc>
      </w:tr>
      <w:tr w:rsidR="004D20EA" w:rsidRPr="004153FE" w:rsidTr="00110C8C">
        <w:tc>
          <w:tcPr>
            <w:tcW w:w="2375"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both"/>
            </w:pPr>
            <w:r w:rsidRPr="004153FE">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83,1</w:t>
            </w:r>
          </w:p>
        </w:tc>
        <w:tc>
          <w:tcPr>
            <w:tcW w:w="1228"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76,86</w:t>
            </w:r>
          </w:p>
        </w:tc>
        <w:tc>
          <w:tcPr>
            <w:tcW w:w="1275"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92,5</w:t>
            </w:r>
          </w:p>
        </w:tc>
        <w:tc>
          <w:tcPr>
            <w:tcW w:w="3170"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 xml:space="preserve">Nesurinkta 7,5 proc. lėšų dėl  esančios ekstremaliosios  situacijos. Buvo mažesnis vaikų lankomumas nei planuota dėl saviizoliacijos, ligų </w:t>
            </w:r>
          </w:p>
        </w:tc>
      </w:tr>
      <w:tr w:rsidR="004D20EA" w:rsidRPr="004153FE" w:rsidTr="00110C8C">
        <w:trPr>
          <w:trHeight w:val="143"/>
        </w:trPr>
        <w:tc>
          <w:tcPr>
            <w:tcW w:w="2375"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both"/>
            </w:pPr>
            <w:r w:rsidRPr="004153FE">
              <w:t>Pajamų išlaidos (SP)</w:t>
            </w:r>
          </w:p>
        </w:tc>
        <w:tc>
          <w:tcPr>
            <w:tcW w:w="1470" w:type="dxa"/>
            <w:tcBorders>
              <w:top w:val="single" w:sz="4" w:space="0" w:color="auto"/>
              <w:left w:val="single" w:sz="4" w:space="0" w:color="auto"/>
              <w:bottom w:val="single" w:sz="4" w:space="0" w:color="auto"/>
              <w:right w:val="single" w:sz="4" w:space="0" w:color="auto"/>
            </w:tcBorders>
            <w:vAlign w:val="center"/>
            <w:hideMark/>
          </w:tcPr>
          <w:p w:rsidR="004D20EA" w:rsidRPr="004153FE" w:rsidRDefault="004D20EA" w:rsidP="00110C8C">
            <w:pPr>
              <w:jc w:val="both"/>
            </w:pPr>
            <w:r w:rsidRPr="004153FE">
              <w:rPr>
                <w:rFonts w:eastAsia="Calibri"/>
              </w:rPr>
              <w:t>83,1</w:t>
            </w:r>
          </w:p>
        </w:tc>
        <w:tc>
          <w:tcPr>
            <w:tcW w:w="1228"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t>61,67</w:t>
            </w:r>
          </w:p>
        </w:tc>
        <w:tc>
          <w:tcPr>
            <w:tcW w:w="1275"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74,2</w:t>
            </w:r>
          </w:p>
        </w:tc>
        <w:tc>
          <w:tcPr>
            <w:tcW w:w="3170"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Taupiai naudotos lėšos, siekiant atnaujinti virtuvės ir valgyklos inventorių</w:t>
            </w:r>
          </w:p>
        </w:tc>
      </w:tr>
      <w:tr w:rsidR="004D20EA" w:rsidRPr="004153FE" w:rsidTr="00110C8C">
        <w:trPr>
          <w:trHeight w:val="125"/>
        </w:trPr>
        <w:tc>
          <w:tcPr>
            <w:tcW w:w="2375"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both"/>
            </w:pPr>
            <w:r w:rsidRPr="004153FE">
              <w:t>Projektų finansavimas (ES; VB; SB)</w:t>
            </w:r>
          </w:p>
        </w:tc>
        <w:tc>
          <w:tcPr>
            <w:tcW w:w="1470" w:type="dxa"/>
            <w:tcBorders>
              <w:top w:val="single" w:sz="4" w:space="0" w:color="auto"/>
              <w:left w:val="single" w:sz="4" w:space="0" w:color="auto"/>
              <w:bottom w:val="single" w:sz="4" w:space="0" w:color="auto"/>
              <w:right w:val="single" w:sz="4" w:space="0" w:color="auto"/>
            </w:tcBorders>
          </w:tcPr>
          <w:p w:rsidR="004D20EA" w:rsidRPr="004153FE" w:rsidRDefault="004D20EA" w:rsidP="00110C8C">
            <w:pPr>
              <w:jc w:val="both"/>
            </w:pPr>
          </w:p>
          <w:p w:rsidR="004D20EA" w:rsidRPr="004153FE" w:rsidRDefault="004D20EA" w:rsidP="00110C8C">
            <w:pPr>
              <w:jc w:val="both"/>
            </w:pPr>
            <w:r w:rsidRPr="004153FE">
              <w:t>0</w:t>
            </w:r>
          </w:p>
        </w:tc>
        <w:tc>
          <w:tcPr>
            <w:tcW w:w="1228" w:type="dxa"/>
            <w:tcBorders>
              <w:top w:val="single" w:sz="4" w:space="0" w:color="auto"/>
              <w:left w:val="single" w:sz="4" w:space="0" w:color="auto"/>
              <w:bottom w:val="single" w:sz="4" w:space="0" w:color="auto"/>
              <w:right w:val="single" w:sz="4" w:space="0" w:color="auto"/>
            </w:tcBorders>
          </w:tcPr>
          <w:p w:rsidR="004D20EA" w:rsidRPr="004153FE" w:rsidRDefault="004D20EA" w:rsidP="00110C8C">
            <w:pPr>
              <w:jc w:val="both"/>
            </w:pPr>
          </w:p>
          <w:p w:rsidR="004D20EA" w:rsidRPr="004153FE" w:rsidRDefault="004D20EA" w:rsidP="00110C8C">
            <w:pPr>
              <w:jc w:val="both"/>
            </w:pPr>
            <w:r w:rsidRPr="004153FE">
              <w:t>0</w:t>
            </w:r>
          </w:p>
        </w:tc>
        <w:tc>
          <w:tcPr>
            <w:tcW w:w="1275" w:type="dxa"/>
            <w:tcBorders>
              <w:top w:val="single" w:sz="4" w:space="0" w:color="auto"/>
              <w:left w:val="single" w:sz="4" w:space="0" w:color="auto"/>
              <w:bottom w:val="single" w:sz="4" w:space="0" w:color="auto"/>
              <w:right w:val="single" w:sz="4" w:space="0" w:color="auto"/>
            </w:tcBorders>
          </w:tcPr>
          <w:p w:rsidR="004D20EA" w:rsidRPr="004153FE" w:rsidRDefault="004D20EA" w:rsidP="00110C8C">
            <w:pPr>
              <w:jc w:val="both"/>
            </w:pPr>
          </w:p>
          <w:p w:rsidR="004D20EA" w:rsidRPr="004153FE" w:rsidRDefault="004D20EA" w:rsidP="00110C8C">
            <w:pPr>
              <w:jc w:val="both"/>
            </w:pPr>
            <w:r w:rsidRPr="004153FE">
              <w:t>0</w:t>
            </w:r>
          </w:p>
        </w:tc>
        <w:tc>
          <w:tcPr>
            <w:tcW w:w="3170" w:type="dxa"/>
            <w:tcBorders>
              <w:top w:val="single" w:sz="4" w:space="0" w:color="auto"/>
              <w:left w:val="single" w:sz="4" w:space="0" w:color="auto"/>
              <w:bottom w:val="single" w:sz="4" w:space="0" w:color="auto"/>
              <w:right w:val="single" w:sz="4" w:space="0" w:color="auto"/>
            </w:tcBorders>
          </w:tcPr>
          <w:p w:rsidR="004D20EA" w:rsidRPr="004153FE" w:rsidRDefault="004D20EA" w:rsidP="00110C8C">
            <w:pPr>
              <w:jc w:val="both"/>
            </w:pPr>
          </w:p>
        </w:tc>
      </w:tr>
      <w:tr w:rsidR="004D20EA" w:rsidRPr="004153FE" w:rsidTr="00110C8C">
        <w:tc>
          <w:tcPr>
            <w:tcW w:w="2375"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both"/>
            </w:pPr>
            <w:r w:rsidRPr="004153FE">
              <w:t>Kitos lėšos (parama 2 % GM ir kt.)</w:t>
            </w:r>
          </w:p>
        </w:tc>
        <w:tc>
          <w:tcPr>
            <w:tcW w:w="1470"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2,23</w:t>
            </w:r>
          </w:p>
        </w:tc>
        <w:tc>
          <w:tcPr>
            <w:tcW w:w="1228"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1,81</w:t>
            </w:r>
          </w:p>
        </w:tc>
        <w:tc>
          <w:tcPr>
            <w:tcW w:w="1275"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81</w:t>
            </w:r>
          </w:p>
        </w:tc>
        <w:tc>
          <w:tcPr>
            <w:tcW w:w="3170"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Lėšos naudotos būtinosios reikmės prekėms ir paslaugoms įsigyti</w:t>
            </w:r>
          </w:p>
        </w:tc>
      </w:tr>
      <w:tr w:rsidR="004D20EA" w:rsidRPr="004153FE" w:rsidTr="00110C8C">
        <w:trPr>
          <w:trHeight w:val="152"/>
        </w:trPr>
        <w:tc>
          <w:tcPr>
            <w:tcW w:w="2375" w:type="dxa"/>
            <w:tcBorders>
              <w:top w:val="single" w:sz="4" w:space="0" w:color="auto"/>
              <w:left w:val="single" w:sz="4" w:space="0" w:color="auto"/>
              <w:bottom w:val="single" w:sz="4" w:space="0" w:color="auto"/>
              <w:right w:val="single" w:sz="4" w:space="0" w:color="auto"/>
            </w:tcBorders>
            <w:hideMark/>
          </w:tcPr>
          <w:p w:rsidR="004D20EA" w:rsidRPr="004153FE" w:rsidRDefault="004D20EA" w:rsidP="00110C8C">
            <w:pPr>
              <w:jc w:val="both"/>
            </w:pPr>
            <w:r w:rsidRPr="004153FE">
              <w:t>Iš viso</w:t>
            </w:r>
          </w:p>
        </w:tc>
        <w:tc>
          <w:tcPr>
            <w:tcW w:w="1470"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924,93</w:t>
            </w:r>
          </w:p>
        </w:tc>
        <w:tc>
          <w:tcPr>
            <w:tcW w:w="1228"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896,51</w:t>
            </w:r>
          </w:p>
        </w:tc>
        <w:tc>
          <w:tcPr>
            <w:tcW w:w="1275" w:type="dxa"/>
            <w:tcBorders>
              <w:top w:val="single" w:sz="4" w:space="0" w:color="auto"/>
              <w:left w:val="single" w:sz="4" w:space="0" w:color="auto"/>
              <w:bottom w:val="single" w:sz="4" w:space="0" w:color="auto"/>
              <w:right w:val="single" w:sz="4" w:space="0" w:color="auto"/>
            </w:tcBorders>
            <w:vAlign w:val="center"/>
          </w:tcPr>
          <w:p w:rsidR="004D20EA" w:rsidRPr="004153FE" w:rsidRDefault="004D20EA" w:rsidP="00110C8C">
            <w:pPr>
              <w:jc w:val="both"/>
            </w:pPr>
            <w:r w:rsidRPr="004153FE">
              <w:rPr>
                <w:rFonts w:eastAsia="Calibri"/>
              </w:rPr>
              <w:t>89,54</w:t>
            </w:r>
          </w:p>
        </w:tc>
        <w:tc>
          <w:tcPr>
            <w:tcW w:w="3170" w:type="dxa"/>
            <w:tcBorders>
              <w:top w:val="single" w:sz="4" w:space="0" w:color="auto"/>
              <w:left w:val="single" w:sz="4" w:space="0" w:color="auto"/>
              <w:bottom w:val="single" w:sz="4" w:space="0" w:color="auto"/>
              <w:right w:val="single" w:sz="4" w:space="0" w:color="auto"/>
            </w:tcBorders>
          </w:tcPr>
          <w:p w:rsidR="004D20EA" w:rsidRPr="004153FE" w:rsidRDefault="004D20EA" w:rsidP="00110C8C">
            <w:pPr>
              <w:jc w:val="both"/>
            </w:pPr>
          </w:p>
        </w:tc>
      </w:tr>
      <w:tr w:rsidR="004D20EA" w:rsidRPr="004153FE" w:rsidTr="00110C8C">
        <w:tc>
          <w:tcPr>
            <w:tcW w:w="5073" w:type="dxa"/>
            <w:gridSpan w:val="3"/>
            <w:tcBorders>
              <w:top w:val="single" w:sz="4" w:space="0" w:color="auto"/>
              <w:left w:val="single" w:sz="4" w:space="0" w:color="auto"/>
              <w:bottom w:val="single" w:sz="4" w:space="0" w:color="auto"/>
              <w:right w:val="single" w:sz="4" w:space="0" w:color="auto"/>
            </w:tcBorders>
          </w:tcPr>
          <w:p w:rsidR="004D20EA" w:rsidRPr="004153FE" w:rsidRDefault="004D20EA" w:rsidP="00110C8C">
            <w:pPr>
              <w:jc w:val="both"/>
            </w:pPr>
            <w:r w:rsidRPr="004153FE">
              <w:t>Kreditinis įsiskolinimas (pagal visus finansavimo šaltinius) 2022 m. sausio 1 d. – 135,95 Eur</w:t>
            </w:r>
          </w:p>
        </w:tc>
        <w:tc>
          <w:tcPr>
            <w:tcW w:w="1275" w:type="dxa"/>
            <w:tcBorders>
              <w:top w:val="single" w:sz="4" w:space="0" w:color="auto"/>
              <w:left w:val="single" w:sz="4" w:space="0" w:color="auto"/>
              <w:bottom w:val="single" w:sz="4" w:space="0" w:color="auto"/>
              <w:right w:val="single" w:sz="4" w:space="0" w:color="auto"/>
            </w:tcBorders>
          </w:tcPr>
          <w:p w:rsidR="004D20EA" w:rsidRPr="004153FE" w:rsidRDefault="004D20EA" w:rsidP="00110C8C">
            <w:pPr>
              <w:jc w:val="both"/>
            </w:pPr>
          </w:p>
        </w:tc>
        <w:tc>
          <w:tcPr>
            <w:tcW w:w="3170" w:type="dxa"/>
            <w:tcBorders>
              <w:top w:val="single" w:sz="4" w:space="0" w:color="auto"/>
              <w:left w:val="single" w:sz="4" w:space="0" w:color="auto"/>
              <w:bottom w:val="single" w:sz="4" w:space="0" w:color="auto"/>
              <w:right w:val="single" w:sz="4" w:space="0" w:color="auto"/>
            </w:tcBorders>
          </w:tcPr>
          <w:p w:rsidR="004D20EA" w:rsidRPr="004153FE" w:rsidRDefault="004D20EA" w:rsidP="00110C8C">
            <w:pPr>
              <w:jc w:val="both"/>
            </w:pPr>
            <w:r w:rsidRPr="004153FE">
              <w:rPr>
                <w:rFonts w:eastAsia="Calibri"/>
              </w:rPr>
              <w:t>Kreditinis įsiskolinimas susidarė: 29,04 Eur dėl UAB „Telia“ klaidingai suformuotų sąskaitų; 106,91 Eur – trūkstant lėšų maitinimo paslaugų kompensavimo sąskaitoje</w:t>
            </w:r>
          </w:p>
        </w:tc>
      </w:tr>
    </w:tbl>
    <w:p w:rsidR="00671E58" w:rsidRDefault="004D20EA" w:rsidP="004D20EA">
      <w:pPr>
        <w:jc w:val="both"/>
        <w:rPr>
          <w:lang w:eastAsia="lt-LT"/>
        </w:rPr>
      </w:pPr>
      <w:r w:rsidRPr="004153FE">
        <w:t xml:space="preserve">     </w:t>
      </w:r>
      <w:r w:rsidRPr="004153FE">
        <w:rPr>
          <w:lang w:eastAsia="lt-LT"/>
        </w:rPr>
        <w:t xml:space="preserve">  </w:t>
      </w:r>
    </w:p>
    <w:p w:rsidR="00671E58" w:rsidRDefault="004D20EA" w:rsidP="00671E58">
      <w:pPr>
        <w:ind w:firstLine="851"/>
        <w:jc w:val="both"/>
        <w:rPr>
          <w:lang w:eastAsia="lt-LT"/>
        </w:rPr>
      </w:pPr>
      <w:r w:rsidRPr="004153FE">
        <w:rPr>
          <w:lang w:eastAsia="lt-LT"/>
        </w:rPr>
        <w:t xml:space="preserve">Įstaigoje 2021 m. vykdyti patikrinimai: 1) Valstybinės maisto ir veterinarijos tarnybos Klaipėdos departamento 2021-05-11 patikrinimas. Nustatyti neatitikimai pašalinti teisės aktų nustatyta tvarka (Viešojo maitinimo įmonės patikrinimo aktas Nr. 37VMĮP-161); 2) Kontrolės įstaigos „Inspectum“ 2021-06-17 žaidimų aikštelių kontrolė. Naudojama vaikų žaidimų įranga atitinka LST EN1176:2008/2018 (visos dalys) reikalavimus (Vaikų žaidimų aikštelės kontrolės </w:t>
      </w:r>
      <w:r w:rsidRPr="004153FE">
        <w:rPr>
          <w:lang w:eastAsia="lt-LT"/>
        </w:rPr>
        <w:lastRenderedPageBreak/>
        <w:t>ataskaita Nr. P1905-94189-1-2021); 3) Įstaigos mokymo sutarčių įvertinimas (Klaipėdos miesto savivaldybės administracijos Švietimo skyriaus 2021 m. spalio 20 d. pažyma „Dėl lopšelių-darželių „Eglutė“, „Papartėlis“ ir „Žemuogėlė“ mokymo sutarčių įvertinimo rezultatų“ Nr. ŠV2-11). Mokymo sutartys patikslintos, atsižvelgiant į pateiktas rekomendacijas.</w:t>
      </w:r>
    </w:p>
    <w:p w:rsidR="00671E58" w:rsidRDefault="004D20EA" w:rsidP="00671E58">
      <w:pPr>
        <w:ind w:firstLine="851"/>
        <w:jc w:val="both"/>
        <w:rPr>
          <w:lang w:eastAsia="lt-LT"/>
        </w:rPr>
      </w:pPr>
      <w:r w:rsidRPr="004153FE">
        <w:rPr>
          <w:lang w:eastAsia="lt-LT"/>
        </w:rPr>
        <w:t xml:space="preserve">2021 m. Įstaigoje liko neišspręstos tokios vidaus ir išorės faktorių sąlygotos problemos: 1) pastatui reikalinga pilna renovacija: būtina atlikti grupių, virtuvės remontą, renovuoti šildymo sistemą, vandentiekį, apšiltinti pamatus bei galines pastato sienas, suremontuoti pastato fasadą, įrengti lietaus nuotekų surinkimo tinklą; 2) susidėvėjusi ir nesaugi šaligatvių, takų  ir žaidimų aikštelių danga, trūksta lauko pavėsinių, lauko žaidimų įrenginių; 3) nepakanka lėšų įsigyti informacinių ir komunikacinių technologijų bei šiuolaikinių ugdymo(si) priemonių; 4) trūksta kvalifikuotų pedagoginių darbuotojų. </w:t>
      </w:r>
    </w:p>
    <w:p w:rsidR="004D20EA" w:rsidRDefault="004D20EA" w:rsidP="00671E58">
      <w:pPr>
        <w:ind w:firstLine="851"/>
        <w:jc w:val="both"/>
        <w:rPr>
          <w:lang w:eastAsia="lt-LT"/>
        </w:rPr>
      </w:pPr>
      <w:r w:rsidRPr="004153FE">
        <w:rPr>
          <w:lang w:eastAsia="lt-LT"/>
        </w:rPr>
        <w:t xml:space="preserve">Planuodama 2022 m. veiklą, Įstaigos bendruomenė susitarė dėl tokių veiklos prioritetų: diegti </w:t>
      </w:r>
      <w:bookmarkStart w:id="2" w:name="_GoBack"/>
      <w:bookmarkEnd w:id="2"/>
      <w:r w:rsidRPr="004153FE">
        <w:rPr>
          <w:lang w:eastAsia="lt-LT"/>
        </w:rPr>
        <w:t>inovatyvias ugdymo(si) technologijas, plėtoti partnerystę ir bendradarbiavimą su šeima, teikiant kokybišką ugdymą įvairių gebėjimų vaikams, tobulinti pedagogų skaitmeninio raštingumo kompetencijas</w:t>
      </w:r>
      <w:r>
        <w:rPr>
          <w:lang w:eastAsia="lt-LT"/>
        </w:rPr>
        <w:t>.</w:t>
      </w:r>
    </w:p>
    <w:p w:rsidR="00D57F27" w:rsidRDefault="00D57F27" w:rsidP="00832CC9">
      <w:pPr>
        <w:ind w:firstLine="709"/>
        <w:jc w:val="both"/>
      </w:pPr>
    </w:p>
    <w:p w:rsidR="009D3A22" w:rsidRDefault="009D3A22" w:rsidP="00832CC9">
      <w:pPr>
        <w:ind w:firstLine="709"/>
        <w:jc w:val="both"/>
      </w:pPr>
    </w:p>
    <w:p w:rsidR="009D3A22" w:rsidRPr="00832CC9" w:rsidRDefault="009D3A22" w:rsidP="009D3A22">
      <w:pPr>
        <w:jc w:val="both"/>
      </w:pPr>
      <w:r>
        <w:t>Direktorė</w:t>
      </w:r>
      <w:r>
        <w:tab/>
      </w:r>
      <w:r>
        <w:tab/>
      </w:r>
      <w:r>
        <w:tab/>
      </w:r>
      <w:r>
        <w:tab/>
      </w:r>
      <w:r>
        <w:tab/>
      </w:r>
      <w:r>
        <w:tab/>
      </w:r>
      <w:r w:rsidR="004D20EA">
        <w:t xml:space="preserve">       </w:t>
      </w:r>
      <w:r>
        <w:t>Angelė Aniulė</w:t>
      </w:r>
    </w:p>
    <w:sectPr w:rsidR="009D3A22"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C2194">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310DAC"/>
    <w:multiLevelType w:val="hybridMultilevel"/>
    <w:tmpl w:val="8CBA65BC"/>
    <w:lvl w:ilvl="0" w:tplc="A31AB08C">
      <w:numFmt w:val="bullet"/>
      <w:lvlText w:val="–"/>
      <w:lvlJc w:val="left"/>
      <w:pPr>
        <w:ind w:left="780" w:hanging="360"/>
      </w:pPr>
      <w:rPr>
        <w:rFonts w:ascii="Times New Roman" w:eastAsia="Times New Roman" w:hAnsi="Times New Roman" w:cs="Times New Roman" w:hint="default"/>
        <w:color w:val="auto"/>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E55F6"/>
    <w:rsid w:val="00116DF4"/>
    <w:rsid w:val="0012279E"/>
    <w:rsid w:val="0019615E"/>
    <w:rsid w:val="0034183E"/>
    <w:rsid w:val="004476DD"/>
    <w:rsid w:val="004D20EA"/>
    <w:rsid w:val="00597EE8"/>
    <w:rsid w:val="005B434A"/>
    <w:rsid w:val="005C2194"/>
    <w:rsid w:val="005E08D1"/>
    <w:rsid w:val="005F495C"/>
    <w:rsid w:val="00671E58"/>
    <w:rsid w:val="00832CC9"/>
    <w:rsid w:val="008354D5"/>
    <w:rsid w:val="008B3AAE"/>
    <w:rsid w:val="008E6E82"/>
    <w:rsid w:val="00954A52"/>
    <w:rsid w:val="009D3A2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D3A22"/>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8377</Words>
  <Characters>4776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10</cp:revision>
  <dcterms:created xsi:type="dcterms:W3CDTF">2022-02-24T06:01:00Z</dcterms:created>
  <dcterms:modified xsi:type="dcterms:W3CDTF">2022-03-02T08:05:00Z</dcterms:modified>
</cp:coreProperties>
</file>